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A1E4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E4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A1E44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1E4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Expression écrite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A1E44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1E44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Expression écrite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A1E44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1E4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Produire une affiche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A1E44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1E44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Produire une affiche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A1E44" w:rsidP="007B49B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5F89">
                              <w:rPr>
                                <w:bCs/>
                                <w:szCs w:val="24"/>
                              </w:rPr>
                              <w:t>Produire une affiche annonçant un événement.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A1E44" w:rsidP="007B49B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5F89">
                        <w:rPr>
                          <w:bCs/>
                          <w:szCs w:val="24"/>
                        </w:rPr>
                        <w:t>Produire une affiche annonçant un événement.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7420AB">
        <w:trPr>
          <w:trHeight w:val="5519"/>
        </w:trPr>
        <w:tc>
          <w:tcPr>
            <w:tcW w:w="1798" w:type="dxa"/>
            <w:shd w:val="clear" w:color="auto" w:fill="auto"/>
          </w:tcPr>
          <w:p w:rsidR="003C67ED" w:rsidRPr="003C67ED" w:rsidRDefault="007420AB" w:rsidP="003C67ED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br/>
            </w:r>
            <w:r w:rsidR="003C67ED" w:rsidRPr="003C67E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C67ED" w:rsidRPr="003C67ED" w:rsidRDefault="003C67ED" w:rsidP="003C67ED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C67E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</w:t>
            </w:r>
          </w:p>
          <w:p w:rsidR="003C67ED" w:rsidRDefault="003C67E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Pr="005C2B03" w:rsidRDefault="007420AB" w:rsidP="005C2B03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br/>
            </w:r>
            <w:r w:rsidR="005C2B03" w:rsidRPr="005C2B03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Pr="005C2B03" w:rsidRDefault="005C2B03" w:rsidP="005C2B03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5C2B03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5C2B03" w:rsidRPr="005C2B03" w:rsidRDefault="005C2B03" w:rsidP="005C2B03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5C2B03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Production</w:t>
            </w: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5C2B03" w:rsidRPr="00BC7D8B" w:rsidRDefault="005C2B03" w:rsidP="005C2B03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BC7D8B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Relecture</w:t>
            </w:r>
          </w:p>
          <w:p w:rsidR="005C2B03" w:rsidRDefault="005C2B03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420AB" w:rsidRDefault="007420AB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420AB" w:rsidRDefault="007420AB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420AB" w:rsidRDefault="007420AB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7420AB" w:rsidRPr="009A0554" w:rsidRDefault="007420AB" w:rsidP="007420AB">
            <w:pPr>
              <w:pStyle w:val="mesapprentissages"/>
              <w:rPr>
                <w:b/>
                <w:bCs/>
                <w:color w:val="E36C0A" w:themeColor="accent6" w:themeShade="BF"/>
              </w:rPr>
            </w:pPr>
            <w:r w:rsidRPr="009A0554">
              <w:rPr>
                <w:b/>
                <w:bCs/>
                <w:color w:val="E36C0A" w:themeColor="accent6" w:themeShade="BF"/>
              </w:rPr>
              <w:t>5. Réécriture</w:t>
            </w:r>
          </w:p>
          <w:p w:rsidR="007420AB" w:rsidRPr="002D3AFE" w:rsidRDefault="007420AB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2D3AFE" w:rsidRDefault="002D3AFE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Faire observer silencieusement le document de la page 36 du livre de l'élève.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Vérifier la compréhension globale.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Q : De quel document s'agit-il ? R : II s'agit d'une affiche.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Q : Où peut-on trouver un document de ce genre ? R : On peut le trouver dans les journaux, sur les murs de la ville ou sur des panneaux publicitaires.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Faire lire à haute voix les questions de « Je découvre ».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Réponses </w:t>
            </w:r>
            <w:proofErr w:type="gramStart"/>
            <w:r w:rsidRPr="00F45131">
              <w:rPr>
                <w:rFonts w:asciiTheme="majorBidi" w:hAnsiTheme="majorBidi" w:cstheme="majorBidi"/>
              </w:rPr>
              <w:t>:  1</w:t>
            </w:r>
            <w:proofErr w:type="gramEnd"/>
            <w:r w:rsidRPr="00F45131">
              <w:rPr>
                <w:rFonts w:asciiTheme="majorBidi" w:hAnsiTheme="majorBidi" w:cstheme="majorBidi"/>
              </w:rPr>
              <w:t>. L'affiche est composée de deux parties : un texte et un dessin.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                   2. Elle annonce l'organisation d'un débat sur l'avenir des forêts.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                   3. Le slogan : Arrêtons de couper les arbres. L'Atlas se meurt. Ce slogan est formé de deux phrases.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                4. La </w:t>
            </w:r>
            <w:proofErr w:type="spellStart"/>
            <w:r w:rsidRPr="00F45131">
              <w:rPr>
                <w:rFonts w:asciiTheme="majorBidi" w:hAnsiTheme="majorBidi" w:cstheme="majorBidi"/>
              </w:rPr>
              <w:t>lre</w:t>
            </w:r>
            <w:proofErr w:type="spellEnd"/>
            <w:r w:rsidRPr="00F45131">
              <w:rPr>
                <w:rFonts w:asciiTheme="majorBidi" w:hAnsiTheme="majorBidi" w:cstheme="majorBidi"/>
              </w:rPr>
              <w:t xml:space="preserve"> phrase du slogan </w:t>
            </w:r>
            <w:r w:rsidR="005C2B03">
              <w:rPr>
                <w:rFonts w:asciiTheme="majorBidi" w:hAnsiTheme="majorBidi" w:cstheme="majorBidi"/>
              </w:rPr>
              <w:t>est impérative, la 2e est décla</w:t>
            </w:r>
            <w:r w:rsidRPr="00F45131">
              <w:rPr>
                <w:rFonts w:asciiTheme="majorBidi" w:hAnsiTheme="majorBidi" w:cstheme="majorBidi"/>
              </w:rPr>
              <w:t>rative.</w:t>
            </w:r>
          </w:p>
          <w:p w:rsidR="00F45131" w:rsidRPr="00F45131" w:rsidRDefault="00F45131" w:rsidP="005C2B03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                5. L'affiche donne les informations suivantes : </w:t>
            </w:r>
            <w:r w:rsidR="005C2B03">
              <w:rPr>
                <w:rFonts w:asciiTheme="majorBidi" w:hAnsiTheme="majorBidi" w:cstheme="majorBidi"/>
              </w:rPr>
              <w:br/>
            </w:r>
            <w:r w:rsidRPr="00F45131">
              <w:rPr>
                <w:rFonts w:asciiTheme="majorBidi" w:hAnsiTheme="majorBidi" w:cstheme="majorBidi"/>
              </w:rPr>
              <w:t xml:space="preserve">• qui organise le débat (l'Association Forêt Verte) ;                                                                                              • le thème du débat (l'avenir des forêts) </w:t>
            </w:r>
            <w:proofErr w:type="gramStart"/>
            <w:r w:rsidRPr="00F45131">
              <w:rPr>
                <w:rFonts w:asciiTheme="majorBidi" w:hAnsiTheme="majorBidi" w:cstheme="majorBidi"/>
              </w:rPr>
              <w:t>;</w:t>
            </w:r>
            <w:proofErr w:type="gramEnd"/>
            <w:r w:rsidR="005C2B03">
              <w:rPr>
                <w:rFonts w:asciiTheme="majorBidi" w:hAnsiTheme="majorBidi" w:cstheme="majorBidi"/>
              </w:rPr>
              <w:br/>
            </w:r>
            <w:r w:rsidRPr="00F45131">
              <w:rPr>
                <w:rFonts w:asciiTheme="majorBidi" w:hAnsiTheme="majorBidi" w:cstheme="majorBidi"/>
              </w:rPr>
              <w:t>• la date et le lieu du débat</w:t>
            </w:r>
            <w:r w:rsidR="005C2B03">
              <w:rPr>
                <w:rFonts w:asciiTheme="majorBidi" w:hAnsiTheme="majorBidi" w:cstheme="majorBidi"/>
              </w:rPr>
              <w:t xml:space="preserve"> (Le 27 oct. à 16 h à la biblio</w:t>
            </w:r>
            <w:r w:rsidRPr="00F45131">
              <w:rPr>
                <w:rFonts w:asciiTheme="majorBidi" w:hAnsiTheme="majorBidi" w:cstheme="majorBidi"/>
              </w:rPr>
              <w:t>thèque municipale).</w:t>
            </w:r>
          </w:p>
          <w:p w:rsidR="005C2B03" w:rsidRDefault="005C2B03" w:rsidP="00F45131">
            <w:pPr>
              <w:pStyle w:val="Style1"/>
              <w:rPr>
                <w:rFonts w:asciiTheme="majorBidi" w:hAnsiTheme="majorBidi" w:cstheme="majorBidi"/>
              </w:rPr>
            </w:pP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Exploitation de « Je m'entraîne » de la p. 36.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Faire un travail collectif et oral de lecture et d'explication des consignes avant exécution des exercices.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Exercice 1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Rappeler que l'affiche annonce souvent un événement public et qu'elle est affichée sur des supports publics. Elle ne peut annoncer des événements personnels.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Réponses : L'arrivée d'un cirque ; La semaine du cheval ; Le festival de musique ; Le Salon du livre.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Exercice 2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Faire relier chaque thème au slogan qui lui correspond.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Réponses </w:t>
            </w:r>
            <w:proofErr w:type="gramStart"/>
            <w:r w:rsidRPr="00F45131">
              <w:rPr>
                <w:rFonts w:asciiTheme="majorBidi" w:hAnsiTheme="majorBidi" w:cstheme="majorBidi"/>
              </w:rPr>
              <w:t>:  Foire</w:t>
            </w:r>
            <w:proofErr w:type="gramEnd"/>
            <w:r w:rsidRPr="00F45131">
              <w:rPr>
                <w:rFonts w:asciiTheme="majorBidi" w:hAnsiTheme="majorBidi" w:cstheme="majorBidi"/>
              </w:rPr>
              <w:t xml:space="preserve"> du tapis marocain / Pour vos cadeaux... </w:t>
            </w:r>
            <w:proofErr w:type="spellStart"/>
            <w:r w:rsidRPr="00F45131">
              <w:rPr>
                <w:rFonts w:asciiTheme="majorBidi" w:hAnsiTheme="majorBidi" w:cstheme="majorBidi"/>
              </w:rPr>
              <w:t>Moussem</w:t>
            </w:r>
            <w:proofErr w:type="spellEnd"/>
            <w:r w:rsidRPr="00F45131">
              <w:rPr>
                <w:rFonts w:asciiTheme="majorBidi" w:hAnsiTheme="majorBidi" w:cstheme="majorBidi"/>
              </w:rPr>
              <w:t xml:space="preserve"> des rosés à </w:t>
            </w:r>
            <w:proofErr w:type="spellStart"/>
            <w:r w:rsidRPr="00F45131">
              <w:rPr>
                <w:rFonts w:asciiTheme="majorBidi" w:hAnsiTheme="majorBidi" w:cstheme="majorBidi"/>
              </w:rPr>
              <w:t>Meggouna</w:t>
            </w:r>
            <w:proofErr w:type="spellEnd"/>
            <w:r w:rsidRPr="00F45131">
              <w:rPr>
                <w:rFonts w:asciiTheme="majorBidi" w:hAnsiTheme="majorBidi" w:cstheme="majorBidi"/>
              </w:rPr>
              <w:t xml:space="preserve"> / Bienvenus... Coupe du Trône de football / Venez nombreux...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Corrections collective et individuelle.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• Faire un récapitulatif rapide de ce qui a été dit lors de la </w:t>
            </w:r>
            <w:proofErr w:type="spellStart"/>
            <w:r w:rsidRPr="00F45131">
              <w:rPr>
                <w:rFonts w:asciiTheme="majorBidi" w:hAnsiTheme="majorBidi" w:cstheme="majorBidi"/>
              </w:rPr>
              <w:t>lre</w:t>
            </w:r>
            <w:proofErr w:type="spellEnd"/>
            <w:r w:rsidRPr="00F45131">
              <w:rPr>
                <w:rFonts w:asciiTheme="majorBidi" w:hAnsiTheme="majorBidi" w:cstheme="majorBidi"/>
              </w:rPr>
              <w:t xml:space="preserve"> séance :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L'affiche annonce un événement.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Le slogan nous appelle à faire ou à ne pas faire quelque chose.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Lire et faire Lire les consignes de la rubrique.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a. Produire d'autres slogans.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Rappel : Dans un slogan, les phrases peuvent être impératives ou déclaratives. Dans un slogan, il y a souvent des sons qui se répètent.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 xml:space="preserve">• Laisser aux apprenants </w:t>
            </w:r>
            <w:r w:rsidR="005C2B03">
              <w:rPr>
                <w:rFonts w:asciiTheme="majorBidi" w:hAnsiTheme="majorBidi" w:cstheme="majorBidi"/>
              </w:rPr>
              <w:t>le temps pour rechercher et for</w:t>
            </w:r>
            <w:r w:rsidRPr="00F45131">
              <w:rPr>
                <w:rFonts w:asciiTheme="majorBidi" w:hAnsiTheme="majorBidi" w:cstheme="majorBidi"/>
              </w:rPr>
              <w:t>muler d'autres slogans. Circuler entre les rangs pour aider ceux qui le réclament. Faire lire les productions des uns et les faire corriger par les autres.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Exemples de slogans que peuvent trouver les apprenants : La forêt est sacrée. Elle mérite du respect. Halte au déboisement. Nos montagnes sont en danger.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lastRenderedPageBreak/>
              <w:t>b. Composer une affiche avec les éléments donnés.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Faire tracer le cadre d'une affiche dans une page entière du cahier.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• Inviter les apprenants à organiser les informations et à imaginer un dessin pour compléter l'affiche. Ceux qui ne savent pas dessiner peuvent coller des images découpées dans des magazines.</w:t>
            </w:r>
          </w:p>
          <w:p w:rsidR="00F45131" w:rsidRP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</w:p>
          <w:p w:rsidR="00F45131" w:rsidRDefault="00F45131" w:rsidP="00F45131">
            <w:pPr>
              <w:pStyle w:val="Style1"/>
              <w:rPr>
                <w:rFonts w:asciiTheme="majorBidi" w:hAnsiTheme="majorBidi" w:cstheme="majorBidi"/>
              </w:rPr>
            </w:pPr>
            <w:r w:rsidRPr="00F45131">
              <w:rPr>
                <w:rFonts w:asciiTheme="majorBidi" w:hAnsiTheme="majorBidi" w:cstheme="majorBidi"/>
              </w:rPr>
              <w:t>Recopier la grille au tableau ou la photocopier. Inviter les apprenants à lire leur pr</w:t>
            </w:r>
            <w:r w:rsidR="005C2B03">
              <w:rPr>
                <w:rFonts w:asciiTheme="majorBidi" w:hAnsiTheme="majorBidi" w:cstheme="majorBidi"/>
              </w:rPr>
              <w:t>oduction et à répondre aux ques</w:t>
            </w:r>
            <w:r w:rsidRPr="00F45131">
              <w:rPr>
                <w:rFonts w:asciiTheme="majorBidi" w:hAnsiTheme="majorBidi" w:cstheme="majorBidi"/>
              </w:rPr>
              <w:t>tions de la grille.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93"/>
              <w:gridCol w:w="762"/>
              <w:gridCol w:w="842"/>
            </w:tblGrid>
            <w:tr w:rsidR="00F45131" w:rsidRPr="00F45131" w:rsidTr="003C67ED">
              <w:trPr>
                <w:gridBefore w:val="1"/>
                <w:wBefore w:w="3893" w:type="dxa"/>
                <w:trHeight w:hRule="exact" w:val="284"/>
              </w:trPr>
              <w:tc>
                <w:tcPr>
                  <w:tcW w:w="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  <w:r w:rsidRPr="00F45131">
                    <w:rPr>
                      <w:bCs/>
                      <w:sz w:val="20"/>
                      <w:szCs w:val="20"/>
                      <w:lang w:eastAsia="en-US"/>
                    </w:rPr>
                    <w:t>Oui</w:t>
                  </w: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  <w:r w:rsidRPr="00F45131">
                    <w:rPr>
                      <w:bCs/>
                      <w:sz w:val="20"/>
                      <w:szCs w:val="20"/>
                      <w:lang w:eastAsia="en-US"/>
                    </w:rPr>
                    <w:t>Non</w:t>
                  </w:r>
                </w:p>
              </w:tc>
            </w:tr>
            <w:tr w:rsidR="00F45131" w:rsidRPr="00F45131" w:rsidTr="003C67ED">
              <w:trPr>
                <w:trHeight w:hRule="exact" w:val="284"/>
              </w:trPr>
              <w:tc>
                <w:tcPr>
                  <w:tcW w:w="3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  <w:r w:rsidRPr="00F45131">
                    <w:rPr>
                      <w:bCs/>
                      <w:sz w:val="20"/>
                      <w:szCs w:val="20"/>
                      <w:lang w:eastAsia="en-US"/>
                    </w:rPr>
                    <w:t>J’ai ordonné les éléments de l’affiche</w:t>
                  </w:r>
                </w:p>
              </w:tc>
              <w:tc>
                <w:tcPr>
                  <w:tcW w:w="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45131" w:rsidRPr="00F45131" w:rsidTr="003C67ED">
              <w:trPr>
                <w:trHeight w:hRule="exact" w:val="284"/>
              </w:trPr>
              <w:tc>
                <w:tcPr>
                  <w:tcW w:w="3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  <w:r w:rsidRPr="00F45131">
                    <w:rPr>
                      <w:bCs/>
                      <w:sz w:val="20"/>
                      <w:szCs w:val="20"/>
                      <w:lang w:eastAsia="en-US"/>
                    </w:rPr>
                    <w:t>J’ai respecté la ponctuation</w:t>
                  </w:r>
                </w:p>
              </w:tc>
              <w:tc>
                <w:tcPr>
                  <w:tcW w:w="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45131" w:rsidRPr="00F45131" w:rsidTr="003C67ED">
              <w:trPr>
                <w:trHeight w:hRule="exact" w:val="284"/>
              </w:trPr>
              <w:tc>
                <w:tcPr>
                  <w:tcW w:w="3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  <w:r w:rsidRPr="00F45131">
                    <w:rPr>
                      <w:bCs/>
                      <w:sz w:val="20"/>
                      <w:szCs w:val="20"/>
                      <w:lang w:eastAsia="en-US"/>
                    </w:rPr>
                    <w:t>J’ai illustré mon affiche</w:t>
                  </w:r>
                </w:p>
              </w:tc>
              <w:tc>
                <w:tcPr>
                  <w:tcW w:w="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5131" w:rsidRPr="00F45131" w:rsidRDefault="00F45131" w:rsidP="00F45131">
                  <w:pPr>
                    <w:spacing w:line="240" w:lineRule="auto"/>
                    <w:rPr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3C67ED" w:rsidRPr="00F45F89" w:rsidRDefault="003C67ED" w:rsidP="003C67ED">
            <w:pPr>
              <w:rPr>
                <w:bCs/>
                <w:szCs w:val="24"/>
              </w:rPr>
            </w:pPr>
            <w:r w:rsidRPr="00F45F89">
              <w:rPr>
                <w:bCs/>
                <w:szCs w:val="24"/>
              </w:rPr>
              <w:t>Si les apprenants ont répondu plus d'une fois « non », les inviter à relire leur production et à l'améliorer en appli</w:t>
            </w:r>
            <w:r w:rsidRPr="00F45F89">
              <w:rPr>
                <w:bCs/>
                <w:szCs w:val="24"/>
              </w:rPr>
              <w:softHyphen/>
              <w:t>quant les consignes de la grille de relecture.</w:t>
            </w:r>
          </w:p>
          <w:p w:rsidR="003C67ED" w:rsidRPr="00F45F89" w:rsidRDefault="003C67ED" w:rsidP="007420AB">
            <w:pPr>
              <w:rPr>
                <w:bCs/>
                <w:szCs w:val="24"/>
              </w:rPr>
            </w:pPr>
            <w:r w:rsidRPr="00F45F89">
              <w:rPr>
                <w:bCs/>
                <w:szCs w:val="24"/>
              </w:rPr>
              <w:t>• Mise en commun ; correction collective puis individuelle.</w:t>
            </w:r>
            <w:r w:rsidR="007420AB">
              <w:rPr>
                <w:bCs/>
                <w:szCs w:val="24"/>
              </w:rPr>
              <w:br/>
            </w:r>
            <w:r w:rsidRPr="00F45F89">
              <w:rPr>
                <w:bCs/>
                <w:szCs w:val="24"/>
              </w:rPr>
              <w:t>• Inviter les apprenants qui ont bien organisé leur affiche à venir en aide à ceux qui n'ont pas réussi leur tâche.</w:t>
            </w:r>
            <w:r w:rsidR="007420AB">
              <w:rPr>
                <w:bCs/>
                <w:szCs w:val="24"/>
              </w:rPr>
              <w:br/>
            </w:r>
            <w:r w:rsidRPr="00F45F89">
              <w:rPr>
                <w:bCs/>
                <w:szCs w:val="24"/>
              </w:rPr>
              <w:t>• Si le temps le permet, on peut créer une nouvelle affiche dans de grandes dimensions pour l'afficher sur un mur de l'école. Choisir le thème et formuler le slogan.</w:t>
            </w:r>
            <w:bookmarkStart w:id="0" w:name="_GoBack"/>
            <w:bookmarkEnd w:id="0"/>
          </w:p>
          <w:p w:rsidR="003C67ED" w:rsidRPr="005C7CD7" w:rsidRDefault="003C67ED" w:rsidP="00F45131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9F" w:rsidRDefault="006F719F" w:rsidP="00F82AF0">
      <w:pPr>
        <w:spacing w:after="0" w:line="240" w:lineRule="auto"/>
      </w:pPr>
      <w:r>
        <w:separator/>
      </w:r>
    </w:p>
  </w:endnote>
  <w:endnote w:type="continuationSeparator" w:id="0">
    <w:p w:rsidR="006F719F" w:rsidRDefault="006F719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9F" w:rsidRDefault="006F719F" w:rsidP="00F82AF0">
      <w:pPr>
        <w:spacing w:after="0" w:line="240" w:lineRule="auto"/>
      </w:pPr>
      <w:r>
        <w:separator/>
      </w:r>
    </w:p>
  </w:footnote>
  <w:footnote w:type="continuationSeparator" w:id="0">
    <w:p w:rsidR="006F719F" w:rsidRDefault="006F719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4795C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2B03"/>
    <w:rsid w:val="005C3DF8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6F719F"/>
    <w:rsid w:val="0070708B"/>
    <w:rsid w:val="00725E45"/>
    <w:rsid w:val="007412E3"/>
    <w:rsid w:val="007420AB"/>
    <w:rsid w:val="0075049C"/>
    <w:rsid w:val="00752F58"/>
    <w:rsid w:val="00760BBB"/>
    <w:rsid w:val="00775238"/>
    <w:rsid w:val="00787E7D"/>
    <w:rsid w:val="007910D3"/>
    <w:rsid w:val="007A1E44"/>
    <w:rsid w:val="007B1A77"/>
    <w:rsid w:val="007B49B8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420AB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420AB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DA54-E15C-42B2-BA87-0584266A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2013-12-08T11:29:00Z</dcterms:created>
  <dcterms:modified xsi:type="dcterms:W3CDTF">2013-12-12T16:21:00Z</dcterms:modified>
</cp:coreProperties>
</file>