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C904EE">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C904EE">
        <w:rPr>
          <w:rFonts w:ascii="Times New Roman" w:hAnsi="Times New Roman" w:cs="Times New Roman"/>
          <w:bCs/>
          <w:sz w:val="28"/>
          <w:szCs w:val="28"/>
        </w:rPr>
        <w:t>8</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295250"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95250">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Grammaire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295250"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95250">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Grammaire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742DD6" w:rsidRDefault="00C904EE" w:rsidP="0028571F">
                            <w:pPr>
                              <w:shd w:val="clear" w:color="auto" w:fill="FFC000"/>
                              <w:jc w:val="center"/>
                              <w:rPr>
                                <w:b/>
                                <w:bCs/>
                                <w:sz w:val="24"/>
                                <w:szCs w:val="24"/>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904EE">
                              <w:rPr>
                                <w:b/>
                                <w:bCs/>
                                <w:sz w:val="24"/>
                                <w:szCs w:val="24"/>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L'adjectif qualificatif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742DD6" w:rsidRDefault="00C904EE" w:rsidP="0028571F">
                      <w:pPr>
                        <w:shd w:val="clear" w:color="auto" w:fill="FFC000"/>
                        <w:jc w:val="center"/>
                        <w:rPr>
                          <w:b/>
                          <w:bCs/>
                          <w:sz w:val="24"/>
                          <w:szCs w:val="24"/>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904EE">
                        <w:rPr>
                          <w:b/>
                          <w:bCs/>
                          <w:sz w:val="24"/>
                          <w:szCs w:val="24"/>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L'adjectif qualificatif</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742DD6"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4259585A" wp14:editId="789F39EE">
                <wp:simplePos x="0" y="0"/>
                <wp:positionH relativeFrom="column">
                  <wp:posOffset>1259205</wp:posOffset>
                </wp:positionH>
                <wp:positionV relativeFrom="paragraph">
                  <wp:posOffset>116205</wp:posOffset>
                </wp:positionV>
                <wp:extent cx="5930265" cy="5048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5048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8D2F30" w:rsidRDefault="00C904EE" w:rsidP="00C904EE">
                            <w:pPr>
                              <w:rPr>
                                <w:rtl/>
                              </w:rPr>
                            </w:pPr>
                            <w:r>
                              <w:t>• Reconnaître l'adjectif qualificatif et savoir l'utiliser.</w:t>
                            </w:r>
                            <w:r>
                              <w:br/>
                            </w:r>
                            <w:r>
                              <w:t>• Reconnaître l'épithète et l'attribut.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3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8D2F30" w:rsidRDefault="00C904EE" w:rsidP="00C904EE">
                      <w:pPr>
                        <w:rPr>
                          <w:rtl/>
                        </w:rPr>
                      </w:pPr>
                      <w:r>
                        <w:t>• Reconnaître l'adjectif qualificatif et savoir l'utiliser.</w:t>
                      </w:r>
                      <w:r>
                        <w:br/>
                      </w:r>
                      <w:r>
                        <w:t>• Reconnaître l'épithète et l'attribut.</w:t>
                      </w: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4812553D" wp14:editId="025CEF6A">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28571F" w:rsidRDefault="0028571F" w:rsidP="00F40FEE">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3"/>
        <w:gridCol w:w="9380"/>
      </w:tblGrid>
      <w:tr w:rsidR="009012FA" w:rsidRPr="005C7CD7" w:rsidTr="0083383F">
        <w:trPr>
          <w:trHeight w:val="11571"/>
        </w:trPr>
        <w:tc>
          <w:tcPr>
            <w:tcW w:w="1803" w:type="dxa"/>
            <w:shd w:val="clear" w:color="auto" w:fill="auto"/>
          </w:tcPr>
          <w:p w:rsidR="009012FA" w:rsidRDefault="009012FA" w:rsidP="0083383F">
            <w:pPr>
              <w:pStyle w:val="Style1"/>
              <w:rPr>
                <w:rFonts w:asciiTheme="majorBidi" w:hAnsiTheme="majorBidi" w:cstheme="majorBidi"/>
                <w:b/>
                <w:bCs/>
                <w:color w:val="E36C0A" w:themeColor="accent6" w:themeShade="BF"/>
              </w:rPr>
            </w:pPr>
          </w:p>
          <w:p w:rsidR="009012FA" w:rsidRDefault="009012FA" w:rsidP="0083383F">
            <w:pPr>
              <w:pStyle w:val="Style1"/>
              <w:rPr>
                <w:rFonts w:asciiTheme="majorBidi" w:hAnsiTheme="majorBidi" w:cstheme="majorBidi"/>
                <w:b/>
                <w:bCs/>
              </w:rPr>
            </w:pPr>
            <w:r w:rsidRPr="003F6018">
              <w:rPr>
                <w:rFonts w:asciiTheme="majorBidi" w:hAnsiTheme="majorBidi" w:cstheme="majorBidi"/>
                <w:b/>
                <w:bCs/>
                <w:color w:val="E36C0A" w:themeColor="accent6" w:themeShade="BF"/>
              </w:rPr>
              <w:t>1. Découverte et construction de la notion</w:t>
            </w: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r w:rsidRPr="003F6018">
              <w:rPr>
                <w:rFonts w:asciiTheme="majorBidi" w:hAnsiTheme="majorBidi" w:cstheme="majorBidi"/>
                <w:b/>
                <w:bCs/>
                <w:color w:val="E36C0A" w:themeColor="accent6" w:themeShade="BF"/>
              </w:rPr>
              <w:t>2. Entraînement</w:t>
            </w: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r w:rsidRPr="003F6018">
              <w:rPr>
                <w:rFonts w:asciiTheme="majorBidi" w:hAnsiTheme="majorBidi" w:cstheme="majorBidi"/>
                <w:b/>
                <w:bCs/>
                <w:color w:val="E36C0A" w:themeColor="accent6" w:themeShade="BF"/>
              </w:rPr>
              <w:t>3. Évaluation</w:t>
            </w: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Default="009012FA" w:rsidP="0083383F">
            <w:pPr>
              <w:pStyle w:val="Style1"/>
              <w:rPr>
                <w:rFonts w:asciiTheme="majorBidi" w:hAnsiTheme="majorBidi" w:cstheme="majorBidi"/>
                <w:b/>
                <w:bCs/>
              </w:rPr>
            </w:pPr>
          </w:p>
          <w:p w:rsidR="009012FA" w:rsidRPr="000C5066" w:rsidRDefault="009012FA" w:rsidP="0083383F">
            <w:pPr>
              <w:pStyle w:val="Style1"/>
              <w:rPr>
                <w:rFonts w:asciiTheme="majorBidi" w:hAnsiTheme="majorBidi" w:cstheme="majorBidi"/>
                <w:b/>
                <w:bCs/>
              </w:rPr>
            </w:pPr>
          </w:p>
        </w:tc>
        <w:tc>
          <w:tcPr>
            <w:tcW w:w="9380" w:type="dxa"/>
            <w:shd w:val="clear" w:color="auto" w:fill="auto"/>
          </w:tcPr>
          <w:p w:rsidR="009012FA" w:rsidRDefault="009012FA" w:rsidP="0083383F">
            <w:pPr>
              <w:pStyle w:val="mesapprentissages"/>
              <w:rPr>
                <w:rFonts w:asciiTheme="majorBidi" w:hAnsiTheme="majorBidi" w:cstheme="majorBidi"/>
              </w:rPr>
            </w:pPr>
          </w:p>
          <w:p w:rsidR="009012FA" w:rsidRPr="00624501" w:rsidRDefault="009012FA" w:rsidP="0083383F">
            <w:pPr>
              <w:pStyle w:val="Style1"/>
            </w:pPr>
            <w:r w:rsidRPr="00624501">
              <w:t>1. Découverte et construction de la notion</w:t>
            </w:r>
          </w:p>
          <w:p w:rsidR="009012FA" w:rsidRPr="00624501" w:rsidRDefault="009012FA" w:rsidP="0083383F">
            <w:pPr>
              <w:pStyle w:val="Style1"/>
            </w:pPr>
            <w:r w:rsidRPr="00624501">
              <w:rPr>
                <w:szCs w:val="19"/>
              </w:rPr>
              <w:t>• Présenter au tableau les phrases de la rubrique « Je réfléchis et je comprends ».</w:t>
            </w:r>
          </w:p>
          <w:p w:rsidR="009012FA" w:rsidRPr="00624501" w:rsidRDefault="009012FA" w:rsidP="0083383F">
            <w:pPr>
              <w:pStyle w:val="Style1"/>
            </w:pPr>
            <w:r w:rsidRPr="00624501">
              <w:rPr>
                <w:szCs w:val="19"/>
              </w:rPr>
              <w:t>• Faire observer, lire et faire lire les phrases.</w:t>
            </w:r>
          </w:p>
          <w:p w:rsidR="009012FA" w:rsidRPr="00624501" w:rsidRDefault="009012FA" w:rsidP="0083383F">
            <w:pPr>
              <w:pStyle w:val="Style1"/>
            </w:pPr>
            <w:r w:rsidRPr="00624501">
              <w:rPr>
                <w:szCs w:val="19"/>
              </w:rPr>
              <w:t>• S'assurer de la compréhension de ces phrases par les apprenants.</w:t>
            </w:r>
          </w:p>
          <w:p w:rsidR="009012FA" w:rsidRPr="00624501" w:rsidRDefault="009012FA" w:rsidP="0083383F">
            <w:pPr>
              <w:pStyle w:val="Style1"/>
            </w:pPr>
            <w:r w:rsidRPr="00624501">
              <w:rPr>
                <w:szCs w:val="19"/>
              </w:rPr>
              <w:t>• Faire un rappel des notions déjà vues : le GN et le verbe.</w:t>
            </w:r>
          </w:p>
          <w:p w:rsidR="009012FA" w:rsidRPr="00624501" w:rsidRDefault="009012FA" w:rsidP="0083383F">
            <w:pPr>
              <w:pStyle w:val="Style1"/>
            </w:pPr>
            <w:r w:rsidRPr="00624501">
              <w:rPr>
                <w:szCs w:val="19"/>
              </w:rPr>
              <w:t>• Poser les questions du livre.</w:t>
            </w:r>
          </w:p>
          <w:p w:rsidR="009012FA" w:rsidRPr="00624501" w:rsidRDefault="009012FA" w:rsidP="0083383F">
            <w:pPr>
              <w:pStyle w:val="Style1"/>
            </w:pPr>
            <w:r w:rsidRPr="00624501">
              <w:t>Réponses aux questions :</w:t>
            </w:r>
          </w:p>
          <w:p w:rsidR="009012FA" w:rsidRPr="00624501" w:rsidRDefault="009012FA" w:rsidP="0083383F">
            <w:pPr>
              <w:pStyle w:val="Style1"/>
            </w:pPr>
            <w:r w:rsidRPr="00624501">
              <w:rPr>
                <w:szCs w:val="22"/>
              </w:rPr>
              <w:t>1. célèbre</w:t>
            </w:r>
            <w:r>
              <w:rPr>
                <w:szCs w:val="22"/>
              </w:rPr>
              <w:t xml:space="preserve">         </w:t>
            </w:r>
            <w:r w:rsidRPr="00624501">
              <w:rPr>
                <w:szCs w:val="22"/>
              </w:rPr>
              <w:t>2. célèbre est placé après le verbe être.</w:t>
            </w:r>
            <w:r>
              <w:rPr>
                <w:szCs w:val="22"/>
              </w:rPr>
              <w:t xml:space="preserve">          </w:t>
            </w:r>
            <w:r w:rsidRPr="00624501">
              <w:rPr>
                <w:szCs w:val="19"/>
              </w:rPr>
              <w:t>3. muets est l'adjectif.</w:t>
            </w:r>
          </w:p>
          <w:p w:rsidR="009012FA" w:rsidRPr="00624501" w:rsidRDefault="009012FA" w:rsidP="0083383F">
            <w:pPr>
              <w:pStyle w:val="Style1"/>
            </w:pPr>
            <w:r w:rsidRPr="00624501">
              <w:rPr>
                <w:szCs w:val="19"/>
              </w:rPr>
              <w:t>Non, il est placé directement après le nom qu'il qualifie.</w:t>
            </w:r>
          </w:p>
          <w:p w:rsidR="009012FA" w:rsidRPr="00624501" w:rsidRDefault="009012FA" w:rsidP="0083383F">
            <w:pPr>
              <w:pStyle w:val="Style1"/>
            </w:pPr>
            <w:r w:rsidRPr="00624501">
              <w:rPr>
                <w:szCs w:val="19"/>
              </w:rPr>
              <w:t>• Dire que célèbre est un adjectif qualificatif.</w:t>
            </w:r>
            <w:r>
              <w:rPr>
                <w:szCs w:val="19"/>
              </w:rPr>
              <w:t xml:space="preserve">       </w:t>
            </w:r>
            <w:r w:rsidRPr="00624501">
              <w:rPr>
                <w:szCs w:val="22"/>
              </w:rPr>
              <w:t>• Faire produire des exemples oraux.</w:t>
            </w:r>
          </w:p>
          <w:p w:rsidR="009012FA" w:rsidRPr="00624501" w:rsidRDefault="009012FA" w:rsidP="0083383F">
            <w:pPr>
              <w:pStyle w:val="Style1"/>
            </w:pPr>
            <w:r w:rsidRPr="00624501">
              <w:t>• Livres ouverts page 120, lire et faire lire la rubrique « Je retiens ».</w:t>
            </w:r>
          </w:p>
          <w:p w:rsidR="009012FA" w:rsidRPr="00624501" w:rsidRDefault="009012FA" w:rsidP="0083383F">
            <w:pPr>
              <w:pStyle w:val="Style1"/>
            </w:pPr>
          </w:p>
          <w:p w:rsidR="009012FA" w:rsidRPr="00624501" w:rsidRDefault="009012FA" w:rsidP="0083383F">
            <w:pPr>
              <w:pStyle w:val="Style1"/>
            </w:pPr>
            <w:r w:rsidRPr="00624501">
              <w:t>2. Entraînement</w:t>
            </w:r>
          </w:p>
          <w:p w:rsidR="009012FA" w:rsidRPr="00624501" w:rsidRDefault="009012FA" w:rsidP="0083383F">
            <w:pPr>
              <w:pStyle w:val="Style1"/>
            </w:pPr>
            <w:r w:rsidRPr="00624501">
              <w:t>• Faire réaliser collectivement sur les ardoises les exercices</w:t>
            </w:r>
            <w:r>
              <w:t xml:space="preserve">  </w:t>
            </w:r>
            <w:r w:rsidRPr="00624501">
              <w:rPr>
                <w:szCs w:val="22"/>
              </w:rPr>
              <w:t>1 et 2 du livre de l'élève page 120.</w:t>
            </w:r>
          </w:p>
          <w:p w:rsidR="009012FA" w:rsidRPr="00624501" w:rsidRDefault="009012FA" w:rsidP="0083383F">
            <w:pPr>
              <w:pStyle w:val="Style1"/>
            </w:pPr>
            <w:r w:rsidRPr="00624501">
              <w:rPr>
                <w:szCs w:val="19"/>
              </w:rPr>
              <w:t>Expliciter chaque consigne.</w:t>
            </w:r>
          </w:p>
          <w:p w:rsidR="009012FA" w:rsidRPr="00624501" w:rsidRDefault="009012FA" w:rsidP="0083383F">
            <w:pPr>
              <w:pStyle w:val="Style1"/>
            </w:pPr>
            <w:r w:rsidRPr="00624501">
              <w:t>Corrigés</w:t>
            </w:r>
          </w:p>
          <w:p w:rsidR="009012FA" w:rsidRPr="00624501" w:rsidRDefault="009012FA" w:rsidP="0083383F">
            <w:pPr>
              <w:pStyle w:val="Style1"/>
              <w:rPr>
                <w:szCs w:val="23"/>
              </w:rPr>
            </w:pPr>
            <w:r w:rsidRPr="00624501">
              <w:rPr>
                <w:szCs w:val="23"/>
              </w:rPr>
              <w:t>1.</w:t>
            </w:r>
          </w:p>
          <w:tbl>
            <w:tblPr>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7"/>
              <w:gridCol w:w="1287"/>
            </w:tblGrid>
            <w:tr w:rsidR="009012FA" w:rsidRPr="009012FA" w:rsidTr="0083383F">
              <w:trPr>
                <w:trHeight w:val="234"/>
              </w:trPr>
              <w:tc>
                <w:tcPr>
                  <w:tcW w:w="1287"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Noms</w:t>
                  </w:r>
                </w:p>
              </w:tc>
              <w:tc>
                <w:tcPr>
                  <w:tcW w:w="1287"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Adjectifs</w:t>
                  </w:r>
                </w:p>
              </w:tc>
            </w:tr>
            <w:tr w:rsidR="009012FA" w:rsidRPr="009012FA" w:rsidTr="0083383F">
              <w:trPr>
                <w:trHeight w:val="1198"/>
              </w:trPr>
              <w:tc>
                <w:tcPr>
                  <w:tcW w:w="1287"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Bonnet</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Sucre</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Ville</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Tarte</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Pièce</w:t>
                  </w:r>
                </w:p>
              </w:tc>
              <w:tc>
                <w:tcPr>
                  <w:tcW w:w="1287"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Solide</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Sucrée</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Ancienne</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Rouge</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Méchant</w:t>
                  </w:r>
                </w:p>
              </w:tc>
            </w:tr>
          </w:tbl>
          <w:p w:rsidR="009012FA" w:rsidRPr="00624501" w:rsidRDefault="009012FA" w:rsidP="0083383F">
            <w:pPr>
              <w:pStyle w:val="Style1"/>
            </w:pPr>
            <w:r w:rsidRPr="00624501">
              <w:rPr>
                <w:szCs w:val="19"/>
              </w:rPr>
              <w:t>2. Les adjectifs à entourer sont ici en gras. Un jeune homme avec un nez rond et rouge, une bouche énorme et des habits multicolores, s'avance vers les spectateurs. Comme ce personnage de cirque semble drôle !</w:t>
            </w:r>
          </w:p>
          <w:p w:rsidR="009012FA" w:rsidRDefault="009012FA" w:rsidP="0083383F">
            <w:pPr>
              <w:pStyle w:val="Style1"/>
            </w:pPr>
          </w:p>
          <w:p w:rsidR="009012FA" w:rsidRPr="00624501" w:rsidRDefault="009012FA" w:rsidP="0083383F">
            <w:pPr>
              <w:pStyle w:val="Style1"/>
            </w:pPr>
            <w:r w:rsidRPr="00624501">
              <w:t>3. Évaluation</w:t>
            </w:r>
          </w:p>
          <w:p w:rsidR="009012FA" w:rsidRPr="00624501" w:rsidRDefault="009012FA" w:rsidP="0083383F">
            <w:pPr>
              <w:pStyle w:val="Style1"/>
            </w:pPr>
            <w:r w:rsidRPr="00624501">
              <w:rPr>
                <w:szCs w:val="19"/>
              </w:rPr>
              <w:t>• Manuels ouverts p. 120, faire lire et reformuler la consigne de l'exercice 1.</w:t>
            </w:r>
          </w:p>
          <w:p w:rsidR="009012FA" w:rsidRDefault="009012FA" w:rsidP="0083383F">
            <w:pPr>
              <w:pStyle w:val="Style1"/>
              <w:rPr>
                <w:szCs w:val="23"/>
              </w:rPr>
            </w:pPr>
            <w:r w:rsidRPr="00624501">
              <w:rPr>
                <w:szCs w:val="23"/>
              </w:rPr>
              <w:t xml:space="preserve">• Faire exécuter l'exercice puis le corriger. </w:t>
            </w:r>
          </w:p>
          <w:p w:rsidR="009012FA" w:rsidRPr="00CA64BE" w:rsidRDefault="009012FA" w:rsidP="0083383F">
            <w:pPr>
              <w:pStyle w:val="Style1"/>
              <w:rPr>
                <w:szCs w:val="23"/>
              </w:rPr>
            </w:pPr>
            <w:r w:rsidRPr="00CA64BE">
              <w:rPr>
                <w:szCs w:val="23"/>
              </w:rPr>
              <w:t>Corrigé</w:t>
            </w:r>
          </w:p>
          <w:tbl>
            <w:tblPr>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6"/>
              <w:gridCol w:w="1736"/>
            </w:tblGrid>
            <w:tr w:rsidR="009012FA" w:rsidRPr="009012FA" w:rsidTr="0083383F">
              <w:trPr>
                <w:trHeight w:val="226"/>
              </w:trPr>
              <w:tc>
                <w:tcPr>
                  <w:tcW w:w="1736"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Adj. attribut</w:t>
                  </w:r>
                </w:p>
              </w:tc>
              <w:tc>
                <w:tcPr>
                  <w:tcW w:w="1736"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Adj. Epithète</w:t>
                  </w:r>
                </w:p>
              </w:tc>
            </w:tr>
            <w:tr w:rsidR="009012FA" w:rsidRPr="009012FA" w:rsidTr="0083383F">
              <w:trPr>
                <w:trHeight w:val="705"/>
              </w:trPr>
              <w:tc>
                <w:tcPr>
                  <w:tcW w:w="1736"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Ouvert</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magnifique</w:t>
                  </w:r>
                </w:p>
              </w:tc>
              <w:tc>
                <w:tcPr>
                  <w:tcW w:w="1736" w:type="dxa"/>
                </w:tcPr>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Grand</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Admiratif</w:t>
                  </w:r>
                </w:p>
                <w:p w:rsidR="009012FA" w:rsidRPr="009012FA" w:rsidRDefault="009012FA" w:rsidP="0083383F">
                  <w:pPr>
                    <w:pStyle w:val="Style1"/>
                    <w:rPr>
                      <w:rFonts w:eastAsia="Calibri"/>
                      <w:sz w:val="20"/>
                      <w:szCs w:val="20"/>
                      <w:lang w:eastAsia="en-US"/>
                    </w:rPr>
                  </w:pPr>
                  <w:r w:rsidRPr="009012FA">
                    <w:rPr>
                      <w:rFonts w:eastAsia="Calibri"/>
                      <w:sz w:val="20"/>
                      <w:szCs w:val="20"/>
                      <w:lang w:eastAsia="en-US"/>
                    </w:rPr>
                    <w:t>Brun</w:t>
                  </w:r>
                </w:p>
              </w:tc>
            </w:tr>
          </w:tbl>
          <w:p w:rsidR="009012FA" w:rsidRPr="00CA64BE" w:rsidRDefault="009012FA" w:rsidP="0083383F">
            <w:pPr>
              <w:pStyle w:val="Style1"/>
            </w:pPr>
            <w:r w:rsidRPr="00CA64BE">
              <w:rPr>
                <w:szCs w:val="19"/>
              </w:rPr>
              <w:t>• Expliciter la consigne du 2e exercice.</w:t>
            </w:r>
          </w:p>
          <w:p w:rsidR="009012FA" w:rsidRPr="00CA64BE" w:rsidRDefault="009012FA" w:rsidP="0083383F">
            <w:pPr>
              <w:pStyle w:val="Style1"/>
            </w:pPr>
            <w:r w:rsidRPr="00CA64BE">
              <w:rPr>
                <w:szCs w:val="19"/>
              </w:rPr>
              <w:t>• Faire réaliser l'exercice individuellement.</w:t>
            </w:r>
          </w:p>
          <w:p w:rsidR="009012FA" w:rsidRDefault="009012FA" w:rsidP="0083383F">
            <w:pPr>
              <w:pStyle w:val="Style1"/>
              <w:rPr>
                <w:szCs w:val="19"/>
              </w:rPr>
            </w:pPr>
            <w:r w:rsidRPr="00CA64BE">
              <w:rPr>
                <w:szCs w:val="19"/>
              </w:rPr>
              <w:t xml:space="preserve">• Procéder à des corrections collective et individuelle. L'enseignant procédera à un contrôle et en tirera des conclusions sur les acquis. </w:t>
            </w:r>
          </w:p>
          <w:p w:rsidR="009012FA" w:rsidRDefault="009012FA" w:rsidP="0083383F">
            <w:pPr>
              <w:pStyle w:val="Style1"/>
              <w:rPr>
                <w:szCs w:val="19"/>
              </w:rPr>
            </w:pPr>
            <w:r w:rsidRPr="00CA64BE">
              <w:rPr>
                <w:szCs w:val="19"/>
              </w:rPr>
              <w:t>Corrigé</w:t>
            </w:r>
            <w:r>
              <w:rPr>
                <w:szCs w:val="19"/>
              </w:rPr>
              <w:t> </w:t>
            </w:r>
            <w:proofErr w:type="gramStart"/>
            <w:r>
              <w:rPr>
                <w:szCs w:val="19"/>
              </w:rPr>
              <w:t xml:space="preserve">:  </w:t>
            </w:r>
            <w:r w:rsidRPr="00CA64BE">
              <w:rPr>
                <w:szCs w:val="19"/>
              </w:rPr>
              <w:t>Accepter</w:t>
            </w:r>
            <w:proofErr w:type="gramEnd"/>
            <w:r w:rsidRPr="00CA64BE">
              <w:rPr>
                <w:szCs w:val="19"/>
              </w:rPr>
              <w:t xml:space="preserve"> toutes les réponses qui répondent à la consigne. Exemples : </w:t>
            </w:r>
          </w:p>
          <w:p w:rsidR="009012FA" w:rsidRDefault="009012FA" w:rsidP="0083383F">
            <w:pPr>
              <w:pStyle w:val="Style1"/>
              <w:rPr>
                <w:szCs w:val="19"/>
              </w:rPr>
            </w:pPr>
            <w:r w:rsidRPr="00CA64BE">
              <w:rPr>
                <w:szCs w:val="19"/>
              </w:rPr>
              <w:t>a. Sa joie est grande.</w:t>
            </w:r>
            <w:r>
              <w:rPr>
                <w:szCs w:val="19"/>
              </w:rPr>
              <w:t xml:space="preserve">        </w:t>
            </w:r>
            <w:r w:rsidRPr="00CA64BE">
              <w:rPr>
                <w:szCs w:val="19"/>
              </w:rPr>
              <w:t xml:space="preserve">b. Le jeune magicien fait apparaître un lapin blanc. </w:t>
            </w:r>
          </w:p>
          <w:p w:rsidR="009012FA" w:rsidRPr="005C7CD7" w:rsidRDefault="009012FA" w:rsidP="00F57CDB">
            <w:pPr>
              <w:pStyle w:val="Style1"/>
              <w:rPr>
                <w:rFonts w:asciiTheme="majorBidi" w:hAnsiTheme="majorBidi" w:cstheme="majorBidi"/>
              </w:rPr>
            </w:pPr>
            <w:r w:rsidRPr="00CA64BE">
              <w:rPr>
                <w:szCs w:val="19"/>
              </w:rPr>
              <w:t>c. Son assistante est à la fois rapide et souriante.</w:t>
            </w:r>
            <w:bookmarkStart w:id="0" w:name="_GoBack"/>
            <w:bookmarkEnd w:id="0"/>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F57CDB">
      <w:type w:val="continuous"/>
      <w:pgSz w:w="12240" w:h="16560"/>
      <w:pgMar w:top="357" w:right="527" w:bottom="142"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003" w:rsidRDefault="00D05003" w:rsidP="00F82AF0">
      <w:pPr>
        <w:spacing w:after="0" w:line="240" w:lineRule="auto"/>
      </w:pPr>
      <w:r>
        <w:separator/>
      </w:r>
    </w:p>
  </w:endnote>
  <w:endnote w:type="continuationSeparator" w:id="0">
    <w:p w:rsidR="00D05003" w:rsidRDefault="00D05003"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003" w:rsidRDefault="00D05003" w:rsidP="00F82AF0">
      <w:pPr>
        <w:spacing w:after="0" w:line="240" w:lineRule="auto"/>
      </w:pPr>
      <w:r>
        <w:separator/>
      </w:r>
    </w:p>
  </w:footnote>
  <w:footnote w:type="continuationSeparator" w:id="0">
    <w:p w:rsidR="00D05003" w:rsidRDefault="00D05003"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A3768"/>
    <w:rsid w:val="000C4C84"/>
    <w:rsid w:val="000C5066"/>
    <w:rsid w:val="000D019E"/>
    <w:rsid w:val="000E4457"/>
    <w:rsid w:val="001328AC"/>
    <w:rsid w:val="00155619"/>
    <w:rsid w:val="00176841"/>
    <w:rsid w:val="00184B6E"/>
    <w:rsid w:val="00185CCB"/>
    <w:rsid w:val="001946DD"/>
    <w:rsid w:val="00195336"/>
    <w:rsid w:val="0019651E"/>
    <w:rsid w:val="001C0498"/>
    <w:rsid w:val="001E74DA"/>
    <w:rsid w:val="001F02AF"/>
    <w:rsid w:val="002330E5"/>
    <w:rsid w:val="002339D6"/>
    <w:rsid w:val="0028571F"/>
    <w:rsid w:val="00295250"/>
    <w:rsid w:val="002B25E8"/>
    <w:rsid w:val="002B41BC"/>
    <w:rsid w:val="002B55F2"/>
    <w:rsid w:val="002C37F2"/>
    <w:rsid w:val="002D5749"/>
    <w:rsid w:val="002D74D5"/>
    <w:rsid w:val="002E1BF9"/>
    <w:rsid w:val="00363EDE"/>
    <w:rsid w:val="003804C4"/>
    <w:rsid w:val="003A23AC"/>
    <w:rsid w:val="003D1F91"/>
    <w:rsid w:val="003F020C"/>
    <w:rsid w:val="003F06EE"/>
    <w:rsid w:val="003F6018"/>
    <w:rsid w:val="003F7A55"/>
    <w:rsid w:val="00410882"/>
    <w:rsid w:val="00433DCC"/>
    <w:rsid w:val="004542ED"/>
    <w:rsid w:val="004609BF"/>
    <w:rsid w:val="00471B2C"/>
    <w:rsid w:val="00491342"/>
    <w:rsid w:val="004A42D0"/>
    <w:rsid w:val="004A73E2"/>
    <w:rsid w:val="004C7EFA"/>
    <w:rsid w:val="004D638E"/>
    <w:rsid w:val="004F3085"/>
    <w:rsid w:val="00514B1C"/>
    <w:rsid w:val="0052618B"/>
    <w:rsid w:val="005970C6"/>
    <w:rsid w:val="005B2A46"/>
    <w:rsid w:val="005C7CD7"/>
    <w:rsid w:val="005D22F5"/>
    <w:rsid w:val="00615E5B"/>
    <w:rsid w:val="00633B94"/>
    <w:rsid w:val="006644D1"/>
    <w:rsid w:val="00682B2C"/>
    <w:rsid w:val="00697212"/>
    <w:rsid w:val="006A0286"/>
    <w:rsid w:val="006B1BC8"/>
    <w:rsid w:val="006B67FD"/>
    <w:rsid w:val="006C5001"/>
    <w:rsid w:val="006E085A"/>
    <w:rsid w:val="006F6FED"/>
    <w:rsid w:val="0070708B"/>
    <w:rsid w:val="00725E45"/>
    <w:rsid w:val="00733C96"/>
    <w:rsid w:val="007412E3"/>
    <w:rsid w:val="00742DD6"/>
    <w:rsid w:val="0075049C"/>
    <w:rsid w:val="00752F58"/>
    <w:rsid w:val="00760BBB"/>
    <w:rsid w:val="00775238"/>
    <w:rsid w:val="00787E7D"/>
    <w:rsid w:val="007910D3"/>
    <w:rsid w:val="007B1A77"/>
    <w:rsid w:val="007C1FEF"/>
    <w:rsid w:val="007E46D3"/>
    <w:rsid w:val="00812580"/>
    <w:rsid w:val="00827224"/>
    <w:rsid w:val="00827DD4"/>
    <w:rsid w:val="00881C1A"/>
    <w:rsid w:val="008B1DC3"/>
    <w:rsid w:val="008B34F9"/>
    <w:rsid w:val="008C4227"/>
    <w:rsid w:val="008D1F4C"/>
    <w:rsid w:val="008D2F30"/>
    <w:rsid w:val="008D6ECF"/>
    <w:rsid w:val="008E7F09"/>
    <w:rsid w:val="008F7D01"/>
    <w:rsid w:val="009012FA"/>
    <w:rsid w:val="009040E3"/>
    <w:rsid w:val="00934D3A"/>
    <w:rsid w:val="00943145"/>
    <w:rsid w:val="00952540"/>
    <w:rsid w:val="00962114"/>
    <w:rsid w:val="00971886"/>
    <w:rsid w:val="00973D2A"/>
    <w:rsid w:val="009A010C"/>
    <w:rsid w:val="009A0A7A"/>
    <w:rsid w:val="009A362C"/>
    <w:rsid w:val="009D1152"/>
    <w:rsid w:val="009E6A38"/>
    <w:rsid w:val="00A00626"/>
    <w:rsid w:val="00A2142C"/>
    <w:rsid w:val="00A31D91"/>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67A53"/>
    <w:rsid w:val="00B756B0"/>
    <w:rsid w:val="00B83A4A"/>
    <w:rsid w:val="00BC4B6D"/>
    <w:rsid w:val="00BD405F"/>
    <w:rsid w:val="00BE3172"/>
    <w:rsid w:val="00C065C7"/>
    <w:rsid w:val="00C15264"/>
    <w:rsid w:val="00C21F8B"/>
    <w:rsid w:val="00C33CD3"/>
    <w:rsid w:val="00C904EE"/>
    <w:rsid w:val="00C91EA6"/>
    <w:rsid w:val="00CA5DEC"/>
    <w:rsid w:val="00CB0EAE"/>
    <w:rsid w:val="00CB4876"/>
    <w:rsid w:val="00CC361B"/>
    <w:rsid w:val="00CD2320"/>
    <w:rsid w:val="00D05003"/>
    <w:rsid w:val="00D155B2"/>
    <w:rsid w:val="00D222C6"/>
    <w:rsid w:val="00D6025D"/>
    <w:rsid w:val="00D72AA6"/>
    <w:rsid w:val="00DB2EB5"/>
    <w:rsid w:val="00DB6EB6"/>
    <w:rsid w:val="00DC0559"/>
    <w:rsid w:val="00DE49DF"/>
    <w:rsid w:val="00DF50A9"/>
    <w:rsid w:val="00E013DE"/>
    <w:rsid w:val="00E02524"/>
    <w:rsid w:val="00E21165"/>
    <w:rsid w:val="00E21801"/>
    <w:rsid w:val="00E405EA"/>
    <w:rsid w:val="00E85AE6"/>
    <w:rsid w:val="00E87CD2"/>
    <w:rsid w:val="00EA1272"/>
    <w:rsid w:val="00EB1049"/>
    <w:rsid w:val="00EB5A03"/>
    <w:rsid w:val="00EB5A4C"/>
    <w:rsid w:val="00EB5B30"/>
    <w:rsid w:val="00EC4F8A"/>
    <w:rsid w:val="00EF36C5"/>
    <w:rsid w:val="00F1553F"/>
    <w:rsid w:val="00F27A50"/>
    <w:rsid w:val="00F40FEE"/>
    <w:rsid w:val="00F57CDB"/>
    <w:rsid w:val="00F715AB"/>
    <w:rsid w:val="00F82AF0"/>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33C96"/>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33C96"/>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26973-ABBF-4DB8-B1AE-AE0C94A5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302</Words>
  <Characters>1667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7</cp:revision>
  <dcterms:created xsi:type="dcterms:W3CDTF">2013-12-12T15:46:00Z</dcterms:created>
  <dcterms:modified xsi:type="dcterms:W3CDTF">2013-12-12T20:19:00Z</dcterms:modified>
</cp:coreProperties>
</file>